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6C5A7" w14:textId="32219FB0" w:rsidR="00C14EC9" w:rsidRPr="007E79DB" w:rsidRDefault="007E79DB" w:rsidP="007E79DB">
      <w:pPr>
        <w:jc w:val="center"/>
        <w:rPr>
          <w:rFonts w:ascii="Times New Roman" w:hAnsi="Times New Roman" w:cs="Times New Roman"/>
        </w:rPr>
      </w:pPr>
      <w:r w:rsidRPr="007E79DB">
        <w:rPr>
          <w:rFonts w:ascii="Times New Roman" w:hAnsi="Times New Roman" w:cs="Times New Roman"/>
        </w:rPr>
        <w:t>Online Supplement: Construct Definitions and Operationalizations</w:t>
      </w:r>
      <w:r w:rsidR="00212E80">
        <w:rPr>
          <w:rFonts w:ascii="Times New Roman" w:hAnsi="Times New Roman" w:cs="Times New Roman"/>
        </w:rPr>
        <w:t xml:space="preserve"> for Broader Nomological Network</w:t>
      </w:r>
    </w:p>
    <w:p w14:paraId="20FB684F" w14:textId="77777777" w:rsidR="007E79DB" w:rsidRPr="007E79DB" w:rsidRDefault="007E79DB" w:rsidP="007E79DB">
      <w:pPr>
        <w:jc w:val="center"/>
        <w:rPr>
          <w:rFonts w:ascii="Times New Roman" w:hAnsi="Times New Roman" w:cs="Times New Roman"/>
          <w:i/>
          <w:iCs/>
        </w:rPr>
      </w:pPr>
    </w:p>
    <w:tbl>
      <w:tblPr>
        <w:tblW w:w="9360" w:type="dxa"/>
        <w:tblLook w:val="04A0" w:firstRow="1" w:lastRow="0" w:firstColumn="1" w:lastColumn="0" w:noHBand="0" w:noVBand="1"/>
      </w:tblPr>
      <w:tblGrid>
        <w:gridCol w:w="2070"/>
        <w:gridCol w:w="4590"/>
        <w:gridCol w:w="2700"/>
      </w:tblGrid>
      <w:tr w:rsidR="00C14EC9" w:rsidRPr="007E79DB" w14:paraId="0A67AD48" w14:textId="77777777" w:rsidTr="00F52183">
        <w:trPr>
          <w:trHeight w:val="320"/>
        </w:trPr>
        <w:tc>
          <w:tcPr>
            <w:tcW w:w="2070" w:type="dxa"/>
            <w:tcBorders>
              <w:top w:val="single" w:sz="4" w:space="0" w:color="auto"/>
              <w:left w:val="nil"/>
              <w:bottom w:val="single" w:sz="4" w:space="0" w:color="auto"/>
              <w:right w:val="nil"/>
            </w:tcBorders>
            <w:shd w:val="clear" w:color="auto" w:fill="auto"/>
            <w:noWrap/>
          </w:tcPr>
          <w:p w14:paraId="68197540" w14:textId="77777777" w:rsidR="00C14EC9" w:rsidRPr="007E79DB" w:rsidRDefault="00C14EC9" w:rsidP="00F52183">
            <w:pPr>
              <w:rPr>
                <w:rFonts w:ascii="Times New Roman" w:eastAsia="Times New Roman" w:hAnsi="Times New Roman" w:cs="Times New Roman"/>
                <w:color w:val="000000"/>
              </w:rPr>
            </w:pPr>
            <w:r w:rsidRPr="007E79DB">
              <w:rPr>
                <w:rFonts w:ascii="Times New Roman" w:hAnsi="Times New Roman" w:cs="Times New Roman"/>
              </w:rPr>
              <w:t>Construct</w:t>
            </w:r>
          </w:p>
        </w:tc>
        <w:tc>
          <w:tcPr>
            <w:tcW w:w="4590" w:type="dxa"/>
            <w:tcBorders>
              <w:top w:val="single" w:sz="4" w:space="0" w:color="auto"/>
              <w:left w:val="nil"/>
              <w:bottom w:val="single" w:sz="4" w:space="0" w:color="auto"/>
              <w:right w:val="nil"/>
            </w:tcBorders>
          </w:tcPr>
          <w:p w14:paraId="33B4136F" w14:textId="77777777" w:rsidR="00C14EC9" w:rsidRPr="007E79DB" w:rsidRDefault="00C14EC9" w:rsidP="00F52183">
            <w:pPr>
              <w:rPr>
                <w:rFonts w:ascii="Times New Roman" w:eastAsia="Times New Roman" w:hAnsi="Times New Roman" w:cs="Times New Roman"/>
                <w:color w:val="000000"/>
              </w:rPr>
            </w:pPr>
            <w:r w:rsidRPr="007E79DB">
              <w:rPr>
                <w:rFonts w:ascii="Times New Roman" w:hAnsi="Times New Roman" w:cs="Times New Roman"/>
              </w:rPr>
              <w:t>Definition</w:t>
            </w:r>
          </w:p>
        </w:tc>
        <w:tc>
          <w:tcPr>
            <w:tcW w:w="2700" w:type="dxa"/>
            <w:tcBorders>
              <w:top w:val="single" w:sz="4" w:space="0" w:color="auto"/>
              <w:left w:val="nil"/>
              <w:bottom w:val="single" w:sz="4" w:space="0" w:color="auto"/>
              <w:right w:val="nil"/>
            </w:tcBorders>
          </w:tcPr>
          <w:p w14:paraId="1E5A547B" w14:textId="77777777" w:rsidR="00C14EC9" w:rsidRPr="007E79DB" w:rsidRDefault="00C14EC9" w:rsidP="00F52183">
            <w:pPr>
              <w:rPr>
                <w:rFonts w:ascii="Times New Roman" w:eastAsia="Times New Roman" w:hAnsi="Times New Roman" w:cs="Times New Roman"/>
                <w:color w:val="000000"/>
              </w:rPr>
            </w:pPr>
            <w:r w:rsidRPr="007E79DB">
              <w:rPr>
                <w:rFonts w:ascii="Times New Roman" w:hAnsi="Times New Roman" w:cs="Times New Roman"/>
              </w:rPr>
              <w:t>Operationalizations</w:t>
            </w:r>
          </w:p>
        </w:tc>
      </w:tr>
      <w:tr w:rsidR="00C14EC9" w:rsidRPr="007E79DB" w14:paraId="02C30011" w14:textId="77777777" w:rsidTr="00F52183">
        <w:trPr>
          <w:trHeight w:val="320"/>
        </w:trPr>
        <w:tc>
          <w:tcPr>
            <w:tcW w:w="2070" w:type="dxa"/>
            <w:tcBorders>
              <w:top w:val="nil"/>
              <w:left w:val="nil"/>
              <w:bottom w:val="nil"/>
              <w:right w:val="nil"/>
            </w:tcBorders>
            <w:shd w:val="clear" w:color="auto" w:fill="auto"/>
            <w:noWrap/>
            <w:vAlign w:val="center"/>
            <w:hideMark/>
          </w:tcPr>
          <w:p w14:paraId="12F3E100"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Conscientiousness</w:t>
            </w:r>
          </w:p>
        </w:tc>
        <w:tc>
          <w:tcPr>
            <w:tcW w:w="4590" w:type="dxa"/>
            <w:tcBorders>
              <w:top w:val="nil"/>
              <w:left w:val="nil"/>
              <w:bottom w:val="nil"/>
              <w:right w:val="nil"/>
            </w:tcBorders>
          </w:tcPr>
          <w:p w14:paraId="310B8156"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 xml:space="preserve">A personality trait that encompasses being dependable, hardworking, and achievement-oriented (Barrick &amp; Mount, 1991; Roberts, </w:t>
            </w:r>
            <w:proofErr w:type="spellStart"/>
            <w:r w:rsidRPr="007E79DB">
              <w:rPr>
                <w:rFonts w:ascii="Times New Roman" w:hAnsi="Times New Roman" w:cs="Times New Roman"/>
                <w:iCs/>
              </w:rPr>
              <w:t>Chernyshenko</w:t>
            </w:r>
            <w:proofErr w:type="spellEnd"/>
            <w:r w:rsidRPr="007E79DB">
              <w:rPr>
                <w:rFonts w:ascii="Times New Roman" w:hAnsi="Times New Roman" w:cs="Times New Roman"/>
                <w:iCs/>
              </w:rPr>
              <w:t>, Stark, &amp; Goldberg, 2005)</w:t>
            </w:r>
          </w:p>
        </w:tc>
        <w:tc>
          <w:tcPr>
            <w:tcW w:w="2700" w:type="dxa"/>
            <w:tcBorders>
              <w:top w:val="nil"/>
              <w:left w:val="nil"/>
              <w:bottom w:val="nil"/>
              <w:right w:val="nil"/>
            </w:tcBorders>
          </w:tcPr>
          <w:p w14:paraId="216D8CE5" w14:textId="77777777" w:rsidR="00C14EC9" w:rsidRPr="007E79DB" w:rsidRDefault="00C14EC9" w:rsidP="00C14EC9">
            <w:pPr>
              <w:pStyle w:val="ListParagraph"/>
              <w:numPr>
                <w:ilvl w:val="0"/>
                <w:numId w:val="1"/>
              </w:numPr>
              <w:spacing w:after="240"/>
              <w:ind w:left="210"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Conscientiousness</w:t>
            </w:r>
          </w:p>
        </w:tc>
      </w:tr>
      <w:tr w:rsidR="00C14EC9" w:rsidRPr="007E79DB" w14:paraId="6A788A4E" w14:textId="77777777" w:rsidTr="00F52183">
        <w:trPr>
          <w:trHeight w:val="320"/>
        </w:trPr>
        <w:tc>
          <w:tcPr>
            <w:tcW w:w="2070" w:type="dxa"/>
            <w:tcBorders>
              <w:top w:val="nil"/>
              <w:left w:val="nil"/>
              <w:bottom w:val="nil"/>
              <w:right w:val="nil"/>
            </w:tcBorders>
            <w:shd w:val="clear" w:color="auto" w:fill="auto"/>
            <w:noWrap/>
            <w:vAlign w:val="center"/>
            <w:hideMark/>
          </w:tcPr>
          <w:p w14:paraId="3D4BAD7F"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Ethical Climate</w:t>
            </w:r>
          </w:p>
        </w:tc>
        <w:tc>
          <w:tcPr>
            <w:tcW w:w="4590" w:type="dxa"/>
            <w:tcBorders>
              <w:top w:val="nil"/>
              <w:left w:val="nil"/>
              <w:bottom w:val="nil"/>
              <w:right w:val="nil"/>
            </w:tcBorders>
          </w:tcPr>
          <w:p w14:paraId="1B4BB18A"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“The shared perception of what is correct behavior, and how ethical situations should be handled in an organization” (Victor &amp; Cullen, 1987, p. 51)</w:t>
            </w:r>
          </w:p>
        </w:tc>
        <w:tc>
          <w:tcPr>
            <w:tcW w:w="2700" w:type="dxa"/>
            <w:tcBorders>
              <w:top w:val="nil"/>
              <w:left w:val="nil"/>
              <w:bottom w:val="nil"/>
              <w:right w:val="nil"/>
            </w:tcBorders>
          </w:tcPr>
          <w:p w14:paraId="41E6AACA" w14:textId="77777777" w:rsidR="00C14EC9" w:rsidRPr="007E79DB" w:rsidRDefault="00C14EC9" w:rsidP="00C14EC9">
            <w:pPr>
              <w:pStyle w:val="ListParagraph"/>
              <w:numPr>
                <w:ilvl w:val="0"/>
                <w:numId w:val="1"/>
              </w:numPr>
              <w:spacing w:after="240"/>
              <w:ind w:left="210"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Ethical climate</w:t>
            </w:r>
          </w:p>
          <w:p w14:paraId="4932CEF0" w14:textId="77777777" w:rsidR="00C14EC9" w:rsidRPr="007E79DB" w:rsidRDefault="00C14EC9" w:rsidP="00C14EC9">
            <w:pPr>
              <w:pStyle w:val="ListParagraph"/>
              <w:numPr>
                <w:ilvl w:val="0"/>
                <w:numId w:val="1"/>
              </w:numPr>
              <w:spacing w:after="240"/>
              <w:ind w:left="210"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Caring ethical climate</w:t>
            </w:r>
          </w:p>
          <w:p w14:paraId="3D39B8EF" w14:textId="77777777" w:rsidR="00C14EC9" w:rsidRPr="007E79DB" w:rsidRDefault="00C14EC9" w:rsidP="00C14EC9">
            <w:pPr>
              <w:pStyle w:val="ListParagraph"/>
              <w:numPr>
                <w:ilvl w:val="0"/>
                <w:numId w:val="1"/>
              </w:numPr>
              <w:spacing w:after="240"/>
              <w:ind w:left="210"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Rules ethical climate</w:t>
            </w:r>
          </w:p>
        </w:tc>
      </w:tr>
      <w:tr w:rsidR="00C14EC9" w:rsidRPr="007E79DB" w14:paraId="479F3120" w14:textId="77777777" w:rsidTr="00F52183">
        <w:trPr>
          <w:trHeight w:val="320"/>
        </w:trPr>
        <w:tc>
          <w:tcPr>
            <w:tcW w:w="2070" w:type="dxa"/>
            <w:tcBorders>
              <w:top w:val="nil"/>
              <w:left w:val="nil"/>
              <w:bottom w:val="nil"/>
              <w:right w:val="nil"/>
            </w:tcBorders>
            <w:shd w:val="clear" w:color="auto" w:fill="auto"/>
            <w:noWrap/>
            <w:vAlign w:val="center"/>
            <w:hideMark/>
          </w:tcPr>
          <w:p w14:paraId="2D5EB83D"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Ethical Leadership</w:t>
            </w:r>
          </w:p>
        </w:tc>
        <w:tc>
          <w:tcPr>
            <w:tcW w:w="4590" w:type="dxa"/>
            <w:tcBorders>
              <w:top w:val="nil"/>
              <w:left w:val="nil"/>
              <w:bottom w:val="nil"/>
              <w:right w:val="nil"/>
            </w:tcBorders>
          </w:tcPr>
          <w:p w14:paraId="25CED733"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“The demonstration of normatively appropriate conduct through personal actions and interpersonal relationships, and the promotion of such conduct to followers through two-way communication, reinforcement, and decision-making” (Brown et al., 2005, p. 120)</w:t>
            </w:r>
          </w:p>
        </w:tc>
        <w:tc>
          <w:tcPr>
            <w:tcW w:w="2700" w:type="dxa"/>
            <w:tcBorders>
              <w:top w:val="nil"/>
              <w:left w:val="nil"/>
              <w:bottom w:val="nil"/>
              <w:right w:val="nil"/>
            </w:tcBorders>
          </w:tcPr>
          <w:p w14:paraId="0B228D9B" w14:textId="77777777" w:rsidR="00C14EC9" w:rsidRPr="007E79DB" w:rsidRDefault="00C14EC9" w:rsidP="00C14EC9">
            <w:pPr>
              <w:pStyle w:val="ListParagraph"/>
              <w:numPr>
                <w:ilvl w:val="0"/>
                <w:numId w:val="2"/>
              </w:numPr>
              <w:spacing w:after="240"/>
              <w:ind w:left="25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Ethical leadership</w:t>
            </w:r>
          </w:p>
        </w:tc>
      </w:tr>
      <w:tr w:rsidR="00C14EC9" w:rsidRPr="007E79DB" w14:paraId="257DB731" w14:textId="77777777" w:rsidTr="00F52183">
        <w:trPr>
          <w:trHeight w:val="320"/>
        </w:trPr>
        <w:tc>
          <w:tcPr>
            <w:tcW w:w="2070" w:type="dxa"/>
            <w:tcBorders>
              <w:top w:val="nil"/>
              <w:left w:val="nil"/>
              <w:bottom w:val="nil"/>
              <w:right w:val="nil"/>
            </w:tcBorders>
            <w:shd w:val="clear" w:color="auto" w:fill="auto"/>
            <w:noWrap/>
            <w:vAlign w:val="center"/>
            <w:hideMark/>
          </w:tcPr>
          <w:p w14:paraId="412C6CD8"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General Ethical Behavior</w:t>
            </w:r>
          </w:p>
        </w:tc>
        <w:tc>
          <w:tcPr>
            <w:tcW w:w="4590" w:type="dxa"/>
            <w:tcBorders>
              <w:top w:val="nil"/>
              <w:left w:val="nil"/>
              <w:bottom w:val="nil"/>
              <w:right w:val="nil"/>
            </w:tcBorders>
          </w:tcPr>
          <w:p w14:paraId="60587A9A"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Behavior “that is both legal and morally acceptable to the larger community” (Jones, 1991, p. 367)</w:t>
            </w:r>
          </w:p>
        </w:tc>
        <w:tc>
          <w:tcPr>
            <w:tcW w:w="2700" w:type="dxa"/>
            <w:tcBorders>
              <w:top w:val="nil"/>
              <w:left w:val="nil"/>
              <w:bottom w:val="nil"/>
              <w:right w:val="nil"/>
            </w:tcBorders>
          </w:tcPr>
          <w:p w14:paraId="3D644182"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General ethical behavior</w:t>
            </w:r>
          </w:p>
          <w:p w14:paraId="4A31F0B7"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Pro-</w:t>
            </w:r>
            <w:proofErr w:type="spellStart"/>
            <w:r w:rsidRPr="007E79DB">
              <w:rPr>
                <w:rFonts w:ascii="Times New Roman" w:eastAsia="Times New Roman" w:hAnsi="Times New Roman" w:cs="Times New Roman"/>
                <w:color w:val="000000"/>
              </w:rPr>
              <w:t>self unethical</w:t>
            </w:r>
            <w:proofErr w:type="spellEnd"/>
            <w:r w:rsidRPr="007E79DB">
              <w:rPr>
                <w:rFonts w:ascii="Times New Roman" w:eastAsia="Times New Roman" w:hAnsi="Times New Roman" w:cs="Times New Roman"/>
                <w:color w:val="000000"/>
              </w:rPr>
              <w:t xml:space="preserve"> behavior (reversed)</w:t>
            </w:r>
          </w:p>
          <w:p w14:paraId="78EC8A2C"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Compensatory ethical behavior</w:t>
            </w:r>
          </w:p>
        </w:tc>
      </w:tr>
      <w:tr w:rsidR="00C14EC9" w:rsidRPr="007E79DB" w14:paraId="1DC9F0C2" w14:textId="77777777" w:rsidTr="00F52183">
        <w:trPr>
          <w:trHeight w:val="320"/>
        </w:trPr>
        <w:tc>
          <w:tcPr>
            <w:tcW w:w="2070" w:type="dxa"/>
            <w:tcBorders>
              <w:top w:val="nil"/>
              <w:left w:val="nil"/>
              <w:bottom w:val="nil"/>
              <w:right w:val="nil"/>
            </w:tcBorders>
            <w:shd w:val="clear" w:color="auto" w:fill="auto"/>
            <w:noWrap/>
            <w:vAlign w:val="center"/>
            <w:hideMark/>
          </w:tcPr>
          <w:p w14:paraId="4256FE93"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Identification with Leader</w:t>
            </w:r>
          </w:p>
        </w:tc>
        <w:tc>
          <w:tcPr>
            <w:tcW w:w="4590" w:type="dxa"/>
            <w:tcBorders>
              <w:top w:val="nil"/>
              <w:left w:val="nil"/>
              <w:bottom w:val="nil"/>
              <w:right w:val="nil"/>
            </w:tcBorders>
          </w:tcPr>
          <w:p w14:paraId="1E7121A0"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“When an individual’s belief about … a leader becomes self-referential or self-defining” (</w:t>
            </w:r>
            <w:proofErr w:type="spellStart"/>
            <w:r w:rsidRPr="007E79DB">
              <w:rPr>
                <w:rFonts w:ascii="Times New Roman" w:hAnsi="Times New Roman" w:cs="Times New Roman"/>
                <w:iCs/>
              </w:rPr>
              <w:t>Kark</w:t>
            </w:r>
            <w:proofErr w:type="spellEnd"/>
            <w:r w:rsidRPr="007E79DB">
              <w:rPr>
                <w:rFonts w:ascii="Times New Roman" w:hAnsi="Times New Roman" w:cs="Times New Roman"/>
                <w:iCs/>
              </w:rPr>
              <w:t xml:space="preserve"> et al., 2003, p. 247)</w:t>
            </w:r>
          </w:p>
        </w:tc>
        <w:tc>
          <w:tcPr>
            <w:tcW w:w="2700" w:type="dxa"/>
            <w:tcBorders>
              <w:top w:val="nil"/>
              <w:left w:val="nil"/>
              <w:bottom w:val="nil"/>
              <w:right w:val="nil"/>
            </w:tcBorders>
          </w:tcPr>
          <w:p w14:paraId="7523B0E4"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Identification with supervisor</w:t>
            </w:r>
          </w:p>
          <w:p w14:paraId="75461CC0"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Identification with leader</w:t>
            </w:r>
          </w:p>
        </w:tc>
      </w:tr>
      <w:tr w:rsidR="00C14EC9" w:rsidRPr="007E79DB" w14:paraId="2714CCC3" w14:textId="77777777" w:rsidTr="00F52183">
        <w:trPr>
          <w:trHeight w:val="320"/>
        </w:trPr>
        <w:tc>
          <w:tcPr>
            <w:tcW w:w="2070" w:type="dxa"/>
            <w:tcBorders>
              <w:top w:val="nil"/>
              <w:left w:val="nil"/>
              <w:bottom w:val="nil"/>
              <w:right w:val="nil"/>
            </w:tcBorders>
            <w:shd w:val="clear" w:color="auto" w:fill="auto"/>
            <w:noWrap/>
            <w:vAlign w:val="center"/>
            <w:hideMark/>
          </w:tcPr>
          <w:p w14:paraId="6725F174"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Instrumental Climate</w:t>
            </w:r>
          </w:p>
        </w:tc>
        <w:tc>
          <w:tcPr>
            <w:tcW w:w="4590" w:type="dxa"/>
            <w:tcBorders>
              <w:top w:val="nil"/>
              <w:left w:val="nil"/>
              <w:bottom w:val="nil"/>
              <w:right w:val="nil"/>
            </w:tcBorders>
          </w:tcPr>
          <w:p w14:paraId="35ACEB13"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“The prevailing perceptions of employees that they need to look out for themselves and their interests, regardless of relationships with other employees, or responsibilities for the organization and its environment” (Ambrose et al., 2008, p. 330)</w:t>
            </w:r>
          </w:p>
        </w:tc>
        <w:tc>
          <w:tcPr>
            <w:tcW w:w="2700" w:type="dxa"/>
            <w:tcBorders>
              <w:top w:val="nil"/>
              <w:left w:val="nil"/>
              <w:bottom w:val="nil"/>
              <w:right w:val="nil"/>
            </w:tcBorders>
          </w:tcPr>
          <w:p w14:paraId="45C2FC03"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Instrumental climate</w:t>
            </w:r>
          </w:p>
          <w:p w14:paraId="644ADD33"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Ethical self-interest climate</w:t>
            </w:r>
          </w:p>
        </w:tc>
      </w:tr>
      <w:tr w:rsidR="00C14EC9" w:rsidRPr="007E79DB" w14:paraId="510253A2" w14:textId="77777777" w:rsidTr="00F52183">
        <w:trPr>
          <w:trHeight w:val="320"/>
        </w:trPr>
        <w:tc>
          <w:tcPr>
            <w:tcW w:w="2070" w:type="dxa"/>
            <w:tcBorders>
              <w:top w:val="nil"/>
              <w:left w:val="nil"/>
              <w:bottom w:val="nil"/>
              <w:right w:val="nil"/>
            </w:tcBorders>
            <w:shd w:val="clear" w:color="auto" w:fill="auto"/>
            <w:noWrap/>
            <w:vAlign w:val="center"/>
            <w:hideMark/>
          </w:tcPr>
          <w:p w14:paraId="723658A8"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Moral Courage</w:t>
            </w:r>
          </w:p>
        </w:tc>
        <w:tc>
          <w:tcPr>
            <w:tcW w:w="4590" w:type="dxa"/>
            <w:tcBorders>
              <w:top w:val="nil"/>
              <w:left w:val="nil"/>
              <w:bottom w:val="nil"/>
              <w:right w:val="nil"/>
            </w:tcBorders>
          </w:tcPr>
          <w:p w14:paraId="29F40EAF"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“The fortitude to convert moral intentions into actions despite pressures from either inside or outside of the organization to do otherwise” (May et al., 2003, p. 255)</w:t>
            </w:r>
          </w:p>
        </w:tc>
        <w:tc>
          <w:tcPr>
            <w:tcW w:w="2700" w:type="dxa"/>
            <w:tcBorders>
              <w:top w:val="nil"/>
              <w:left w:val="nil"/>
              <w:bottom w:val="nil"/>
              <w:right w:val="nil"/>
            </w:tcBorders>
          </w:tcPr>
          <w:p w14:paraId="12E4078C"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Moral courage</w:t>
            </w:r>
          </w:p>
        </w:tc>
      </w:tr>
      <w:tr w:rsidR="00C14EC9" w:rsidRPr="007E79DB" w14:paraId="247E026E" w14:textId="77777777" w:rsidTr="00F52183">
        <w:trPr>
          <w:trHeight w:val="320"/>
        </w:trPr>
        <w:tc>
          <w:tcPr>
            <w:tcW w:w="2070" w:type="dxa"/>
            <w:tcBorders>
              <w:top w:val="nil"/>
              <w:left w:val="nil"/>
              <w:bottom w:val="nil"/>
              <w:right w:val="nil"/>
            </w:tcBorders>
            <w:shd w:val="clear" w:color="auto" w:fill="auto"/>
            <w:noWrap/>
            <w:vAlign w:val="center"/>
            <w:hideMark/>
          </w:tcPr>
          <w:p w14:paraId="614F5C85"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lastRenderedPageBreak/>
              <w:t>Moral Disengagement</w:t>
            </w:r>
          </w:p>
        </w:tc>
        <w:tc>
          <w:tcPr>
            <w:tcW w:w="4590" w:type="dxa"/>
            <w:tcBorders>
              <w:top w:val="nil"/>
              <w:left w:val="nil"/>
              <w:bottom w:val="nil"/>
              <w:right w:val="nil"/>
            </w:tcBorders>
          </w:tcPr>
          <w:p w14:paraId="3C9D3F05"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 xml:space="preserve">A tendency to employ a set of cognitive tactics that allow people to behave unethically without feeling distress (Moore, </w:t>
            </w:r>
            <w:proofErr w:type="spellStart"/>
            <w:r w:rsidRPr="007E79DB">
              <w:rPr>
                <w:rFonts w:ascii="Times New Roman" w:hAnsi="Times New Roman" w:cs="Times New Roman"/>
                <w:iCs/>
              </w:rPr>
              <w:t>Detert</w:t>
            </w:r>
            <w:proofErr w:type="spellEnd"/>
            <w:r w:rsidRPr="007E79DB">
              <w:rPr>
                <w:rFonts w:ascii="Times New Roman" w:hAnsi="Times New Roman" w:cs="Times New Roman"/>
                <w:iCs/>
              </w:rPr>
              <w:t xml:space="preserve">, </w:t>
            </w:r>
            <w:proofErr w:type="spellStart"/>
            <w:r w:rsidRPr="007E79DB">
              <w:rPr>
                <w:rFonts w:ascii="Times New Roman" w:hAnsi="Times New Roman" w:cs="Times New Roman"/>
                <w:iCs/>
              </w:rPr>
              <w:t>Klebe</w:t>
            </w:r>
            <w:proofErr w:type="spellEnd"/>
            <w:r w:rsidRPr="007E79DB">
              <w:rPr>
                <w:rFonts w:ascii="Times New Roman" w:hAnsi="Times New Roman" w:cs="Times New Roman"/>
                <w:iCs/>
              </w:rPr>
              <w:t xml:space="preserve"> </w:t>
            </w:r>
            <w:proofErr w:type="spellStart"/>
            <w:r w:rsidRPr="007E79DB">
              <w:rPr>
                <w:rFonts w:ascii="Times New Roman" w:hAnsi="Times New Roman" w:cs="Times New Roman"/>
                <w:iCs/>
              </w:rPr>
              <w:t>Treviño</w:t>
            </w:r>
            <w:proofErr w:type="spellEnd"/>
            <w:r w:rsidRPr="007E79DB">
              <w:rPr>
                <w:rFonts w:ascii="Times New Roman" w:hAnsi="Times New Roman" w:cs="Times New Roman"/>
                <w:iCs/>
              </w:rPr>
              <w:t>, Baker, &amp; Mayer, 2012, p. 2)</w:t>
            </w:r>
          </w:p>
        </w:tc>
        <w:tc>
          <w:tcPr>
            <w:tcW w:w="2700" w:type="dxa"/>
            <w:tcBorders>
              <w:top w:val="nil"/>
              <w:left w:val="nil"/>
              <w:bottom w:val="nil"/>
              <w:right w:val="nil"/>
            </w:tcBorders>
          </w:tcPr>
          <w:p w14:paraId="77878173"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Moral disengagement</w:t>
            </w:r>
          </w:p>
        </w:tc>
      </w:tr>
      <w:tr w:rsidR="00C14EC9" w:rsidRPr="007E79DB" w14:paraId="07AF1708" w14:textId="77777777" w:rsidTr="00F52183">
        <w:trPr>
          <w:trHeight w:val="320"/>
        </w:trPr>
        <w:tc>
          <w:tcPr>
            <w:tcW w:w="2070" w:type="dxa"/>
            <w:tcBorders>
              <w:top w:val="nil"/>
              <w:left w:val="nil"/>
              <w:bottom w:val="nil"/>
              <w:right w:val="nil"/>
            </w:tcBorders>
            <w:shd w:val="clear" w:color="auto" w:fill="auto"/>
            <w:noWrap/>
            <w:vAlign w:val="center"/>
            <w:hideMark/>
          </w:tcPr>
          <w:p w14:paraId="112FEDF0"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Moral Identity</w:t>
            </w:r>
          </w:p>
        </w:tc>
        <w:tc>
          <w:tcPr>
            <w:tcW w:w="4590" w:type="dxa"/>
            <w:tcBorders>
              <w:top w:val="nil"/>
              <w:left w:val="nil"/>
              <w:bottom w:val="nil"/>
              <w:right w:val="nil"/>
            </w:tcBorders>
          </w:tcPr>
          <w:p w14:paraId="76C7B799"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An aspect of one’s self-concept that is organized around a set of moral traits (Aquino &amp; Reed, 2002)</w:t>
            </w:r>
          </w:p>
        </w:tc>
        <w:tc>
          <w:tcPr>
            <w:tcW w:w="2700" w:type="dxa"/>
            <w:tcBorders>
              <w:top w:val="nil"/>
              <w:left w:val="nil"/>
              <w:bottom w:val="nil"/>
              <w:right w:val="nil"/>
            </w:tcBorders>
          </w:tcPr>
          <w:p w14:paraId="66DB5740"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Moral identity</w:t>
            </w:r>
          </w:p>
        </w:tc>
      </w:tr>
      <w:tr w:rsidR="00C14EC9" w:rsidRPr="007E79DB" w14:paraId="1C03587A" w14:textId="77777777" w:rsidTr="00F52183">
        <w:trPr>
          <w:trHeight w:val="320"/>
        </w:trPr>
        <w:tc>
          <w:tcPr>
            <w:tcW w:w="2070" w:type="dxa"/>
            <w:tcBorders>
              <w:top w:val="nil"/>
              <w:left w:val="nil"/>
              <w:bottom w:val="nil"/>
              <w:right w:val="nil"/>
            </w:tcBorders>
            <w:shd w:val="clear" w:color="auto" w:fill="auto"/>
            <w:noWrap/>
            <w:vAlign w:val="center"/>
            <w:hideMark/>
          </w:tcPr>
          <w:p w14:paraId="6044F261"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Negative Affectivity</w:t>
            </w:r>
          </w:p>
        </w:tc>
        <w:tc>
          <w:tcPr>
            <w:tcW w:w="4590" w:type="dxa"/>
            <w:tcBorders>
              <w:top w:val="nil"/>
              <w:left w:val="nil"/>
              <w:bottom w:val="nil"/>
              <w:right w:val="nil"/>
            </w:tcBorders>
          </w:tcPr>
          <w:p w14:paraId="501350D3"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eastAsia="Times New Roman" w:hAnsi="Times New Roman" w:cs="Times New Roman"/>
                <w:iCs/>
                <w:color w:val="000000"/>
              </w:rPr>
              <w:t>Stable individual differences in the tendency to experience negative emotional states (Watson et al., 1999)</w:t>
            </w:r>
          </w:p>
        </w:tc>
        <w:tc>
          <w:tcPr>
            <w:tcW w:w="2700" w:type="dxa"/>
            <w:tcBorders>
              <w:top w:val="nil"/>
              <w:left w:val="nil"/>
              <w:bottom w:val="nil"/>
              <w:right w:val="nil"/>
            </w:tcBorders>
          </w:tcPr>
          <w:p w14:paraId="10108379"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Baseline negative affectivity</w:t>
            </w:r>
          </w:p>
          <w:p w14:paraId="6490841C"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Negative affect</w:t>
            </w:r>
          </w:p>
          <w:p w14:paraId="17290722"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Trait negative affect</w:t>
            </w:r>
          </w:p>
        </w:tc>
      </w:tr>
      <w:tr w:rsidR="00C14EC9" w:rsidRPr="007E79DB" w14:paraId="066CC359" w14:textId="77777777" w:rsidTr="00F52183">
        <w:trPr>
          <w:trHeight w:val="320"/>
        </w:trPr>
        <w:tc>
          <w:tcPr>
            <w:tcW w:w="2070" w:type="dxa"/>
            <w:tcBorders>
              <w:top w:val="nil"/>
              <w:left w:val="nil"/>
              <w:bottom w:val="nil"/>
              <w:right w:val="nil"/>
            </w:tcBorders>
            <w:shd w:val="clear" w:color="auto" w:fill="auto"/>
            <w:noWrap/>
            <w:vAlign w:val="center"/>
            <w:hideMark/>
          </w:tcPr>
          <w:p w14:paraId="57DF8FDD"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Positive Affectivity</w:t>
            </w:r>
          </w:p>
        </w:tc>
        <w:tc>
          <w:tcPr>
            <w:tcW w:w="4590" w:type="dxa"/>
            <w:tcBorders>
              <w:top w:val="nil"/>
              <w:left w:val="nil"/>
              <w:bottom w:val="nil"/>
              <w:right w:val="nil"/>
            </w:tcBorders>
          </w:tcPr>
          <w:p w14:paraId="369EFF22"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eastAsia="Times New Roman" w:hAnsi="Times New Roman" w:cs="Times New Roman"/>
                <w:iCs/>
                <w:color w:val="000000"/>
              </w:rPr>
              <w:t>Stable individual differences in the tendency to experience positive emotional states (Watson et al., 1999)</w:t>
            </w:r>
          </w:p>
        </w:tc>
        <w:tc>
          <w:tcPr>
            <w:tcW w:w="2700" w:type="dxa"/>
            <w:tcBorders>
              <w:top w:val="nil"/>
              <w:left w:val="nil"/>
              <w:bottom w:val="nil"/>
              <w:right w:val="nil"/>
            </w:tcBorders>
          </w:tcPr>
          <w:p w14:paraId="0CAE79C5"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Baseline positive affectivity</w:t>
            </w:r>
          </w:p>
          <w:p w14:paraId="1C8239CF"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Positive affect</w:t>
            </w:r>
          </w:p>
          <w:p w14:paraId="4AF0795D"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Trait positive affect</w:t>
            </w:r>
          </w:p>
        </w:tc>
      </w:tr>
      <w:tr w:rsidR="00C14EC9" w:rsidRPr="007E79DB" w14:paraId="5DC23463" w14:textId="77777777" w:rsidTr="00F52183">
        <w:trPr>
          <w:trHeight w:val="320"/>
        </w:trPr>
        <w:tc>
          <w:tcPr>
            <w:tcW w:w="2070" w:type="dxa"/>
            <w:tcBorders>
              <w:top w:val="nil"/>
              <w:left w:val="nil"/>
              <w:bottom w:val="nil"/>
              <w:right w:val="nil"/>
            </w:tcBorders>
            <w:shd w:val="clear" w:color="auto" w:fill="auto"/>
            <w:noWrap/>
            <w:vAlign w:val="center"/>
            <w:hideMark/>
          </w:tcPr>
          <w:p w14:paraId="2DF0663D"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Recommended Punishment</w:t>
            </w:r>
          </w:p>
        </w:tc>
        <w:tc>
          <w:tcPr>
            <w:tcW w:w="4590" w:type="dxa"/>
            <w:tcBorders>
              <w:top w:val="nil"/>
              <w:left w:val="nil"/>
              <w:bottom w:val="nil"/>
              <w:right w:val="nil"/>
            </w:tcBorders>
          </w:tcPr>
          <w:p w14:paraId="7A8EEF99"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eastAsia="Times New Roman" w:hAnsi="Times New Roman" w:cs="Times New Roman"/>
                <w:iCs/>
                <w:color w:val="000000"/>
              </w:rPr>
              <w:t>The recommended severity of negative consequences that should be applied to a target (</w:t>
            </w:r>
            <w:proofErr w:type="spellStart"/>
            <w:r w:rsidRPr="007E79DB">
              <w:rPr>
                <w:rFonts w:ascii="Times New Roman" w:eastAsia="Times New Roman" w:hAnsi="Times New Roman" w:cs="Times New Roman"/>
                <w:iCs/>
                <w:color w:val="000000"/>
              </w:rPr>
              <w:t>Treviño</w:t>
            </w:r>
            <w:proofErr w:type="spellEnd"/>
            <w:r w:rsidRPr="007E79DB">
              <w:rPr>
                <w:rFonts w:ascii="Times New Roman" w:eastAsia="Times New Roman" w:hAnsi="Times New Roman" w:cs="Times New Roman"/>
                <w:iCs/>
                <w:color w:val="000000"/>
              </w:rPr>
              <w:t>, 1992)</w:t>
            </w:r>
          </w:p>
        </w:tc>
        <w:tc>
          <w:tcPr>
            <w:tcW w:w="2700" w:type="dxa"/>
            <w:tcBorders>
              <w:top w:val="nil"/>
              <w:left w:val="nil"/>
              <w:bottom w:val="nil"/>
              <w:right w:val="nil"/>
            </w:tcBorders>
          </w:tcPr>
          <w:p w14:paraId="588ABEAF"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Punishment</w:t>
            </w:r>
          </w:p>
        </w:tc>
      </w:tr>
      <w:tr w:rsidR="00C14EC9" w:rsidRPr="007E79DB" w14:paraId="22D7D459" w14:textId="77777777" w:rsidTr="00F52183">
        <w:trPr>
          <w:trHeight w:val="320"/>
        </w:trPr>
        <w:tc>
          <w:tcPr>
            <w:tcW w:w="2070" w:type="dxa"/>
            <w:tcBorders>
              <w:top w:val="nil"/>
              <w:left w:val="nil"/>
              <w:bottom w:val="nil"/>
              <w:right w:val="nil"/>
            </w:tcBorders>
            <w:shd w:val="clear" w:color="auto" w:fill="auto"/>
            <w:noWrap/>
            <w:vAlign w:val="center"/>
            <w:hideMark/>
          </w:tcPr>
          <w:p w14:paraId="7E609A9E"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Self-Control</w:t>
            </w:r>
          </w:p>
        </w:tc>
        <w:tc>
          <w:tcPr>
            <w:tcW w:w="4590" w:type="dxa"/>
            <w:tcBorders>
              <w:top w:val="nil"/>
              <w:left w:val="nil"/>
              <w:bottom w:val="nil"/>
              <w:right w:val="nil"/>
            </w:tcBorders>
          </w:tcPr>
          <w:p w14:paraId="5B18ABBD"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“The effortful regulation of the self by the self” (Duckworth, 2011, p. 2639)</w:t>
            </w:r>
          </w:p>
        </w:tc>
        <w:tc>
          <w:tcPr>
            <w:tcW w:w="2700" w:type="dxa"/>
            <w:tcBorders>
              <w:top w:val="nil"/>
              <w:left w:val="nil"/>
              <w:bottom w:val="nil"/>
              <w:right w:val="nil"/>
            </w:tcBorders>
          </w:tcPr>
          <w:p w14:paraId="5C8153BD"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Self-control</w:t>
            </w:r>
          </w:p>
          <w:p w14:paraId="687670F2"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Resource depletion (reversed)</w:t>
            </w:r>
          </w:p>
        </w:tc>
      </w:tr>
      <w:tr w:rsidR="00C14EC9" w:rsidRPr="007E79DB" w14:paraId="7270C729" w14:textId="77777777" w:rsidTr="00F52183">
        <w:trPr>
          <w:trHeight w:val="320"/>
        </w:trPr>
        <w:tc>
          <w:tcPr>
            <w:tcW w:w="2070" w:type="dxa"/>
            <w:tcBorders>
              <w:top w:val="nil"/>
              <w:left w:val="nil"/>
              <w:bottom w:val="nil"/>
              <w:right w:val="nil"/>
            </w:tcBorders>
            <w:shd w:val="clear" w:color="auto" w:fill="auto"/>
            <w:noWrap/>
            <w:vAlign w:val="center"/>
            <w:hideMark/>
          </w:tcPr>
          <w:p w14:paraId="65060E78"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Social Desirability</w:t>
            </w:r>
          </w:p>
        </w:tc>
        <w:tc>
          <w:tcPr>
            <w:tcW w:w="4590" w:type="dxa"/>
            <w:tcBorders>
              <w:top w:val="nil"/>
              <w:left w:val="nil"/>
              <w:bottom w:val="nil"/>
              <w:right w:val="nil"/>
            </w:tcBorders>
          </w:tcPr>
          <w:p w14:paraId="34660103"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eastAsia="Times New Roman" w:hAnsi="Times New Roman" w:cs="Times New Roman"/>
                <w:iCs/>
                <w:color w:val="000000"/>
              </w:rPr>
              <w:t>The tendency to respond to self-report in a manner consistent with one’s perception of what is socially acceptable (Crowne &amp; Marlowe, 1960)</w:t>
            </w:r>
          </w:p>
        </w:tc>
        <w:tc>
          <w:tcPr>
            <w:tcW w:w="2700" w:type="dxa"/>
            <w:tcBorders>
              <w:top w:val="nil"/>
              <w:left w:val="nil"/>
              <w:bottom w:val="nil"/>
              <w:right w:val="nil"/>
            </w:tcBorders>
          </w:tcPr>
          <w:p w14:paraId="4841ADC0"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Social desirability</w:t>
            </w:r>
          </w:p>
          <w:p w14:paraId="1AB37A8A"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Impression management</w:t>
            </w:r>
          </w:p>
        </w:tc>
      </w:tr>
      <w:tr w:rsidR="00C14EC9" w:rsidRPr="007E79DB" w14:paraId="0575BD1B" w14:textId="77777777" w:rsidTr="00F52183">
        <w:trPr>
          <w:trHeight w:val="320"/>
        </w:trPr>
        <w:tc>
          <w:tcPr>
            <w:tcW w:w="2070" w:type="dxa"/>
            <w:tcBorders>
              <w:top w:val="nil"/>
              <w:left w:val="nil"/>
              <w:bottom w:val="nil"/>
              <w:right w:val="nil"/>
            </w:tcBorders>
            <w:shd w:val="clear" w:color="auto" w:fill="auto"/>
            <w:noWrap/>
            <w:vAlign w:val="center"/>
            <w:hideMark/>
          </w:tcPr>
          <w:p w14:paraId="6B957796"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Supervisor Bottom-Line Mentality</w:t>
            </w:r>
          </w:p>
        </w:tc>
        <w:tc>
          <w:tcPr>
            <w:tcW w:w="4590" w:type="dxa"/>
            <w:tcBorders>
              <w:top w:val="nil"/>
              <w:left w:val="nil"/>
              <w:bottom w:val="nil"/>
              <w:right w:val="nil"/>
            </w:tcBorders>
          </w:tcPr>
          <w:p w14:paraId="6019B3E5"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 xml:space="preserve">The extent to which a supervisor exclusively prioritizes revenue over any other organizational values (Greenbaum, </w:t>
            </w:r>
            <w:proofErr w:type="spellStart"/>
            <w:r w:rsidRPr="007E79DB">
              <w:rPr>
                <w:rFonts w:ascii="Times New Roman" w:hAnsi="Times New Roman" w:cs="Times New Roman"/>
                <w:iCs/>
              </w:rPr>
              <w:t>Mawritz</w:t>
            </w:r>
            <w:proofErr w:type="spellEnd"/>
            <w:r w:rsidRPr="007E79DB">
              <w:rPr>
                <w:rFonts w:ascii="Times New Roman" w:hAnsi="Times New Roman" w:cs="Times New Roman"/>
                <w:iCs/>
              </w:rPr>
              <w:t xml:space="preserve">, &amp; </w:t>
            </w:r>
            <w:proofErr w:type="spellStart"/>
            <w:r w:rsidRPr="007E79DB">
              <w:rPr>
                <w:rFonts w:ascii="Times New Roman" w:hAnsi="Times New Roman" w:cs="Times New Roman"/>
                <w:iCs/>
              </w:rPr>
              <w:t>Eissa</w:t>
            </w:r>
            <w:proofErr w:type="spellEnd"/>
            <w:r w:rsidRPr="007E79DB">
              <w:rPr>
                <w:rFonts w:ascii="Times New Roman" w:hAnsi="Times New Roman" w:cs="Times New Roman"/>
                <w:iCs/>
              </w:rPr>
              <w:t>, 2012)</w:t>
            </w:r>
          </w:p>
        </w:tc>
        <w:tc>
          <w:tcPr>
            <w:tcW w:w="2700" w:type="dxa"/>
            <w:tcBorders>
              <w:top w:val="nil"/>
              <w:left w:val="nil"/>
              <w:bottom w:val="nil"/>
              <w:right w:val="nil"/>
            </w:tcBorders>
          </w:tcPr>
          <w:p w14:paraId="55174284"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Supervisor bottom-line mentality</w:t>
            </w:r>
          </w:p>
          <w:p w14:paraId="785F9220"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Leader immorality encouragement</w:t>
            </w:r>
          </w:p>
        </w:tc>
      </w:tr>
      <w:tr w:rsidR="00C14EC9" w:rsidRPr="007E79DB" w14:paraId="7B06DD35" w14:textId="77777777" w:rsidTr="00F52183">
        <w:trPr>
          <w:trHeight w:val="320"/>
        </w:trPr>
        <w:tc>
          <w:tcPr>
            <w:tcW w:w="2070" w:type="dxa"/>
            <w:tcBorders>
              <w:top w:val="nil"/>
              <w:left w:val="nil"/>
              <w:bottom w:val="nil"/>
              <w:right w:val="nil"/>
            </w:tcBorders>
            <w:shd w:val="clear" w:color="auto" w:fill="auto"/>
            <w:noWrap/>
            <w:vAlign w:val="center"/>
            <w:hideMark/>
          </w:tcPr>
          <w:p w14:paraId="10E46271"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Supervisor UPB</w:t>
            </w:r>
          </w:p>
        </w:tc>
        <w:tc>
          <w:tcPr>
            <w:tcW w:w="4590" w:type="dxa"/>
            <w:tcBorders>
              <w:top w:val="nil"/>
              <w:left w:val="nil"/>
              <w:bottom w:val="nil"/>
              <w:right w:val="nil"/>
            </w:tcBorders>
          </w:tcPr>
          <w:p w14:paraId="24A15448"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Leaders who engage in “actions that are intended to promote the effective functioning of the organization or its members … and violate core societal values, mores, laws, or standards of proper conduct” (</w:t>
            </w:r>
            <w:proofErr w:type="spellStart"/>
            <w:r w:rsidRPr="007E79DB">
              <w:rPr>
                <w:rFonts w:ascii="Times New Roman" w:hAnsi="Times New Roman" w:cs="Times New Roman"/>
                <w:iCs/>
              </w:rPr>
              <w:t>Umphress</w:t>
            </w:r>
            <w:proofErr w:type="spellEnd"/>
            <w:r w:rsidRPr="007E79DB">
              <w:rPr>
                <w:rFonts w:ascii="Times New Roman" w:hAnsi="Times New Roman" w:cs="Times New Roman"/>
                <w:iCs/>
              </w:rPr>
              <w:t xml:space="preserve"> &amp; Bingham, 2011, pp. 622)</w:t>
            </w:r>
          </w:p>
        </w:tc>
        <w:tc>
          <w:tcPr>
            <w:tcW w:w="2700" w:type="dxa"/>
            <w:tcBorders>
              <w:top w:val="nil"/>
              <w:left w:val="nil"/>
              <w:bottom w:val="nil"/>
              <w:right w:val="nil"/>
            </w:tcBorders>
          </w:tcPr>
          <w:p w14:paraId="5C2B0FB8"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Supervisor UPB</w:t>
            </w:r>
          </w:p>
        </w:tc>
      </w:tr>
      <w:tr w:rsidR="00C14EC9" w:rsidRPr="007E79DB" w14:paraId="181C229C" w14:textId="77777777" w:rsidTr="008D752E">
        <w:trPr>
          <w:trHeight w:val="320"/>
        </w:trPr>
        <w:tc>
          <w:tcPr>
            <w:tcW w:w="2070" w:type="dxa"/>
            <w:tcBorders>
              <w:top w:val="nil"/>
              <w:left w:val="nil"/>
              <w:right w:val="nil"/>
            </w:tcBorders>
            <w:shd w:val="clear" w:color="auto" w:fill="auto"/>
            <w:noWrap/>
            <w:vAlign w:val="center"/>
            <w:hideMark/>
          </w:tcPr>
          <w:p w14:paraId="51613283"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lastRenderedPageBreak/>
              <w:t>Task Performance</w:t>
            </w:r>
          </w:p>
        </w:tc>
        <w:tc>
          <w:tcPr>
            <w:tcW w:w="4590" w:type="dxa"/>
            <w:tcBorders>
              <w:top w:val="nil"/>
              <w:left w:val="nil"/>
              <w:right w:val="nil"/>
            </w:tcBorders>
          </w:tcPr>
          <w:p w14:paraId="18DBB9F6"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eastAsia="Times New Roman" w:hAnsi="Times New Roman" w:cs="Times New Roman"/>
                <w:iCs/>
                <w:color w:val="000000"/>
              </w:rPr>
              <w:t>Behaviors that support or contribute to an organization’s technical core (</w:t>
            </w:r>
            <w:proofErr w:type="spellStart"/>
            <w:r w:rsidRPr="007E79DB">
              <w:rPr>
                <w:rFonts w:ascii="Times New Roman" w:eastAsia="Times New Roman" w:hAnsi="Times New Roman" w:cs="Times New Roman"/>
                <w:iCs/>
                <w:color w:val="000000"/>
              </w:rPr>
              <w:t>Motowidlo</w:t>
            </w:r>
            <w:proofErr w:type="spellEnd"/>
            <w:r w:rsidRPr="007E79DB">
              <w:rPr>
                <w:rFonts w:ascii="Times New Roman" w:eastAsia="Times New Roman" w:hAnsi="Times New Roman" w:cs="Times New Roman"/>
                <w:iCs/>
                <w:color w:val="000000"/>
              </w:rPr>
              <w:t xml:space="preserve">, Borman, &amp; </w:t>
            </w:r>
            <w:proofErr w:type="spellStart"/>
            <w:r w:rsidRPr="007E79DB">
              <w:rPr>
                <w:rFonts w:ascii="Times New Roman" w:eastAsia="Times New Roman" w:hAnsi="Times New Roman" w:cs="Times New Roman"/>
                <w:iCs/>
                <w:color w:val="000000"/>
              </w:rPr>
              <w:t>Schmit</w:t>
            </w:r>
            <w:proofErr w:type="spellEnd"/>
            <w:r w:rsidRPr="007E79DB">
              <w:rPr>
                <w:rFonts w:ascii="Times New Roman" w:eastAsia="Times New Roman" w:hAnsi="Times New Roman" w:cs="Times New Roman"/>
                <w:iCs/>
                <w:color w:val="000000"/>
              </w:rPr>
              <w:t>, 1997</w:t>
            </w:r>
          </w:p>
        </w:tc>
        <w:tc>
          <w:tcPr>
            <w:tcW w:w="2700" w:type="dxa"/>
            <w:tcBorders>
              <w:top w:val="nil"/>
              <w:left w:val="nil"/>
              <w:right w:val="nil"/>
            </w:tcBorders>
          </w:tcPr>
          <w:p w14:paraId="4079DB33"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Task performance</w:t>
            </w:r>
          </w:p>
          <w:p w14:paraId="1DDAFC49"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Business performance</w:t>
            </w:r>
          </w:p>
          <w:p w14:paraId="750D3E4E"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In-role behavior</w:t>
            </w:r>
          </w:p>
        </w:tc>
      </w:tr>
      <w:tr w:rsidR="00C14EC9" w:rsidRPr="007E79DB" w14:paraId="4FB31D04" w14:textId="77777777" w:rsidTr="008D752E">
        <w:trPr>
          <w:trHeight w:val="320"/>
        </w:trPr>
        <w:tc>
          <w:tcPr>
            <w:tcW w:w="2070" w:type="dxa"/>
            <w:tcBorders>
              <w:top w:val="nil"/>
              <w:left w:val="nil"/>
              <w:bottom w:val="single" w:sz="4" w:space="0" w:color="auto"/>
              <w:right w:val="nil"/>
            </w:tcBorders>
            <w:shd w:val="clear" w:color="auto" w:fill="auto"/>
            <w:noWrap/>
            <w:vAlign w:val="center"/>
            <w:hideMark/>
          </w:tcPr>
          <w:p w14:paraId="0A688049" w14:textId="77777777" w:rsidR="00C14EC9" w:rsidRPr="007E79DB" w:rsidRDefault="00C14EC9" w:rsidP="00F52183">
            <w:pPr>
              <w:spacing w:after="240"/>
              <w:rPr>
                <w:rFonts w:ascii="Times New Roman" w:eastAsia="Times New Roman" w:hAnsi="Times New Roman" w:cs="Times New Roman"/>
                <w:color w:val="000000"/>
              </w:rPr>
            </w:pPr>
            <w:r w:rsidRPr="007E79DB">
              <w:rPr>
                <w:rFonts w:ascii="Times New Roman" w:eastAsia="Times New Roman" w:hAnsi="Times New Roman" w:cs="Times New Roman"/>
                <w:color w:val="000000"/>
              </w:rPr>
              <w:t>Transformational Leadership</w:t>
            </w:r>
          </w:p>
        </w:tc>
        <w:tc>
          <w:tcPr>
            <w:tcW w:w="4590" w:type="dxa"/>
            <w:tcBorders>
              <w:top w:val="nil"/>
              <w:left w:val="nil"/>
              <w:bottom w:val="single" w:sz="4" w:space="0" w:color="auto"/>
              <w:right w:val="nil"/>
            </w:tcBorders>
          </w:tcPr>
          <w:p w14:paraId="660E1A2D" w14:textId="77777777" w:rsidR="00C14EC9" w:rsidRPr="007E79DB" w:rsidRDefault="00C14EC9" w:rsidP="00F52183">
            <w:pPr>
              <w:spacing w:after="240"/>
              <w:rPr>
                <w:rFonts w:ascii="Times New Roman" w:eastAsia="Times New Roman" w:hAnsi="Times New Roman" w:cs="Times New Roman"/>
                <w:iCs/>
                <w:color w:val="000000"/>
              </w:rPr>
            </w:pPr>
            <w:r w:rsidRPr="007E79DB">
              <w:rPr>
                <w:rFonts w:ascii="Times New Roman" w:hAnsi="Times New Roman" w:cs="Times New Roman"/>
                <w:iCs/>
              </w:rPr>
              <w:t>Leaders who “exhibit charismatic behaviors, arouse inspirational motivation, provide intellectual stimulation, and treat followers with individualized consideration” (</w:t>
            </w:r>
            <w:proofErr w:type="spellStart"/>
            <w:r w:rsidRPr="007E79DB">
              <w:rPr>
                <w:rFonts w:ascii="Times New Roman" w:hAnsi="Times New Roman" w:cs="Times New Roman"/>
                <w:iCs/>
              </w:rPr>
              <w:t>Dvir</w:t>
            </w:r>
            <w:proofErr w:type="spellEnd"/>
            <w:r w:rsidRPr="007E79DB">
              <w:rPr>
                <w:rFonts w:ascii="Times New Roman" w:hAnsi="Times New Roman" w:cs="Times New Roman"/>
                <w:iCs/>
              </w:rPr>
              <w:t xml:space="preserve"> et al., 2002, pp. 735-736)</w:t>
            </w:r>
          </w:p>
        </w:tc>
        <w:tc>
          <w:tcPr>
            <w:tcW w:w="2700" w:type="dxa"/>
            <w:tcBorders>
              <w:top w:val="nil"/>
              <w:left w:val="nil"/>
              <w:bottom w:val="single" w:sz="4" w:space="0" w:color="auto"/>
              <w:right w:val="nil"/>
            </w:tcBorders>
          </w:tcPr>
          <w:p w14:paraId="460F3040"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Transformational leadership</w:t>
            </w:r>
          </w:p>
          <w:p w14:paraId="4FBAE369" w14:textId="77777777" w:rsidR="00C14EC9" w:rsidRPr="007E79DB" w:rsidRDefault="00C14EC9" w:rsidP="00C14EC9">
            <w:pPr>
              <w:pStyle w:val="ListParagraph"/>
              <w:numPr>
                <w:ilvl w:val="0"/>
                <w:numId w:val="1"/>
              </w:numPr>
              <w:spacing w:after="240"/>
              <w:ind w:left="165" w:hanging="180"/>
              <w:rPr>
                <w:rFonts w:ascii="Times New Roman" w:eastAsia="Times New Roman" w:hAnsi="Times New Roman" w:cs="Times New Roman"/>
                <w:color w:val="000000"/>
              </w:rPr>
            </w:pPr>
            <w:r w:rsidRPr="007E79DB">
              <w:rPr>
                <w:rFonts w:ascii="Times New Roman" w:eastAsia="Times New Roman" w:hAnsi="Times New Roman" w:cs="Times New Roman"/>
                <w:color w:val="000000"/>
              </w:rPr>
              <w:t>Charismatic leadership</w:t>
            </w:r>
          </w:p>
        </w:tc>
      </w:tr>
    </w:tbl>
    <w:p w14:paraId="2B755805" w14:textId="67DD6102" w:rsidR="0015464F" w:rsidRPr="007E79DB" w:rsidRDefault="00C14EC9">
      <w:pPr>
        <w:rPr>
          <w:rFonts w:ascii="Times New Roman" w:hAnsi="Times New Roman" w:cs="Times New Roman"/>
        </w:rPr>
      </w:pPr>
      <w:r w:rsidRPr="007E79DB">
        <w:rPr>
          <w:rFonts w:ascii="Times New Roman" w:hAnsi="Times New Roman" w:cs="Times New Roman"/>
          <w:i/>
          <w:iCs/>
        </w:rPr>
        <w:t xml:space="preserve">Note. </w:t>
      </w:r>
      <w:r w:rsidRPr="007E79DB">
        <w:rPr>
          <w:rFonts w:ascii="Times New Roman" w:hAnsi="Times New Roman" w:cs="Times New Roman"/>
        </w:rPr>
        <w:t>Demographic variables are not shown here.</w:t>
      </w:r>
    </w:p>
    <w:sectPr w:rsidR="0015464F" w:rsidRPr="007E7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35556"/>
    <w:multiLevelType w:val="hybridMultilevel"/>
    <w:tmpl w:val="F7DE8C94"/>
    <w:lvl w:ilvl="0" w:tplc="43A454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E71059"/>
    <w:multiLevelType w:val="hybridMultilevel"/>
    <w:tmpl w:val="8D3CADFE"/>
    <w:lvl w:ilvl="0" w:tplc="43A454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9730858">
    <w:abstractNumId w:val="1"/>
  </w:num>
  <w:num w:numId="2" w16cid:durableId="2054117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EC9"/>
    <w:rsid w:val="0015464F"/>
    <w:rsid w:val="001C66DB"/>
    <w:rsid w:val="00212E80"/>
    <w:rsid w:val="00735E92"/>
    <w:rsid w:val="007E79DB"/>
    <w:rsid w:val="008D752E"/>
    <w:rsid w:val="009F6C4F"/>
    <w:rsid w:val="00C14EC9"/>
    <w:rsid w:val="00FD7F92"/>
    <w:rsid w:val="00FF3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016417"/>
  <w15:chartTrackingRefBased/>
  <w15:docId w15:val="{10AA25E8-2C04-E747-B08B-1886E0C3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E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4E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601</Words>
  <Characters>3429</Characters>
  <Application>Microsoft Office Word</Application>
  <DocSecurity>0</DocSecurity>
  <Lines>28</Lines>
  <Paragraphs>8</Paragraphs>
  <ScaleCrop>false</ScaleCrop>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Logan Steele</dc:creator>
  <cp:keywords/>
  <dc:description/>
  <cp:lastModifiedBy>Logan Steele</cp:lastModifiedBy>
  <cp:revision>4</cp:revision>
  <dcterms:created xsi:type="dcterms:W3CDTF">2023-02-14T18:39:00Z</dcterms:created>
  <dcterms:modified xsi:type="dcterms:W3CDTF">2023-05-22T15:38:00Z</dcterms:modified>
</cp:coreProperties>
</file>